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8D031D">
        <w:rPr>
          <w:b/>
          <w:bCs/>
          <w:spacing w:val="-1"/>
          <w:sz w:val="24"/>
          <w:szCs w:val="24"/>
        </w:rPr>
        <w:t>2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CB6655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14.01.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052253">
        <w:rPr>
          <w:spacing w:val="-1"/>
          <w:sz w:val="24"/>
          <w:szCs w:val="24"/>
        </w:rPr>
        <w:t>ая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3"/>
        <w:gridCol w:w="3109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8D031D" w:rsidP="00AE18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8D031D" w:rsidP="008D031D">
            <w:pPr>
              <w:jc w:val="both"/>
              <w:rPr>
                <w:sz w:val="24"/>
                <w:szCs w:val="24"/>
              </w:rPr>
            </w:pPr>
            <w:r w:rsidRPr="008D031D">
              <w:rPr>
                <w:sz w:val="24"/>
                <w:szCs w:val="24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8D031D">
              <w:rPr>
                <w:sz w:val="24"/>
                <w:szCs w:val="24"/>
              </w:rPr>
              <w:t>л.с</w:t>
            </w:r>
            <w:proofErr w:type="spellEnd"/>
            <w:r w:rsidRPr="008D031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8D031D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CB6655">
              <w:rPr>
                <w:sz w:val="24"/>
                <w:szCs w:val="24"/>
              </w:rPr>
              <w:t xml:space="preserve"> 000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8D031D">
        <w:rPr>
          <w:spacing w:val="5"/>
          <w:sz w:val="24"/>
          <w:szCs w:val="24"/>
        </w:rPr>
        <w:t>24</w:t>
      </w:r>
      <w:r w:rsidR="00CB6655">
        <w:rPr>
          <w:spacing w:val="5"/>
          <w:sz w:val="24"/>
          <w:szCs w:val="24"/>
        </w:rPr>
        <w:t xml:space="preserve"> 000 – </w:t>
      </w:r>
      <w:bookmarkStart w:id="0" w:name="_GoBack"/>
      <w:r w:rsidR="008D031D">
        <w:rPr>
          <w:spacing w:val="5"/>
          <w:sz w:val="24"/>
          <w:szCs w:val="24"/>
        </w:rPr>
        <w:t>двадцать четыре тысячи рублей</w:t>
      </w:r>
      <w:r w:rsidR="00F522F0">
        <w:rPr>
          <w:spacing w:val="5"/>
          <w:sz w:val="24"/>
          <w:szCs w:val="24"/>
        </w:rPr>
        <w:t xml:space="preserve"> </w:t>
      </w:r>
      <w:bookmarkEnd w:id="0"/>
      <w:r w:rsidR="00F522F0">
        <w:rPr>
          <w:spacing w:val="5"/>
          <w:sz w:val="24"/>
          <w:szCs w:val="24"/>
        </w:rPr>
        <w:t>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052253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D031D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90C5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3</cp:revision>
  <cp:lastPrinted>2016-07-11T09:26:00Z</cp:lastPrinted>
  <dcterms:created xsi:type="dcterms:W3CDTF">2026-01-13T13:05:00Z</dcterms:created>
  <dcterms:modified xsi:type="dcterms:W3CDTF">2026-01-13T13:15:00Z</dcterms:modified>
</cp:coreProperties>
</file>